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2C" w:rsidRDefault="00332206">
      <w:pPr>
        <w:pStyle w:val="Domylnie"/>
        <w:jc w:val="center"/>
      </w:pPr>
      <w:r>
        <w:rPr>
          <w:b/>
          <w:bCs/>
        </w:rPr>
        <w:t>Gwarancja w leasingu</w:t>
      </w:r>
    </w:p>
    <w:p w:rsidR="001A0E2C" w:rsidRDefault="001A0E2C">
      <w:pPr>
        <w:pStyle w:val="Domylnie"/>
        <w:jc w:val="center"/>
      </w:pPr>
    </w:p>
    <w:p w:rsidR="001A0E2C" w:rsidRDefault="001A0E2C">
      <w:pPr>
        <w:pStyle w:val="Domylnie"/>
        <w:jc w:val="center"/>
      </w:pPr>
    </w:p>
    <w:p w:rsidR="001A0E2C" w:rsidRDefault="00332206">
      <w:pPr>
        <w:pStyle w:val="Domylnie"/>
        <w:spacing w:line="360" w:lineRule="auto"/>
        <w:jc w:val="both"/>
      </w:pPr>
      <w:r>
        <w:t>Zgodnie z art. 709</w:t>
      </w:r>
      <w:r>
        <w:t xml:space="preserve"> </w:t>
      </w:r>
      <w:r>
        <w:t>(8) § 2 k.c. z chwilą zawarcia przez Finansującego umowy ze Zbywcą z mocy ustawy przechodzą na Korzystającego uprawnienia z tytułu wad rzeczy, przysługujące Finansującemu względem Zbywcy</w:t>
      </w:r>
      <w:r>
        <w:t xml:space="preserve">, z wyjątkiem uprawnienia </w:t>
      </w:r>
      <w:r>
        <w:t>odstąpienia przez finansującego od umowy ze Zbywcą</w:t>
      </w:r>
      <w:r>
        <w:t>.</w:t>
      </w:r>
      <w:r>
        <w:t xml:space="preserve"> N</w:t>
      </w:r>
      <w:bookmarkStart w:id="0" w:name="mainform2525253Afullcontentdocument"/>
      <w:r>
        <w:t>iezależnie od cytowanego wyżej przepisu, zgodnie z art. 709 (4) § 3 k.c., Finansujący obowiązany jest wydać Korzystającemu razem z rzeczą odpis umowy ze zbywcą lub odpisy innych posiadanych dokumentów do</w:t>
      </w:r>
      <w:r>
        <w:t>tyczących tej umowy, w szczególności odpis dokumentu gwarancyjnego co do jakości rzeczy, otrzymanego od zbywcy lub producenta.</w:t>
      </w:r>
    </w:p>
    <w:p w:rsidR="001A0E2C" w:rsidRDefault="00332206">
      <w:pPr>
        <w:pStyle w:val="Domylnie"/>
        <w:spacing w:line="360" w:lineRule="auto"/>
        <w:jc w:val="both"/>
      </w:pPr>
      <w:r>
        <w:t>Zatem przyjąć należy, że w razie wystąpienia wad rzeczy roszczenie o naprawienie przedmiotu leasingu skierowane będzie do Zbywcy,</w:t>
      </w:r>
      <w:r>
        <w:t xml:space="preserve"> który udzielił gwarancji na rzecz. </w:t>
      </w:r>
    </w:p>
    <w:p w:rsidR="001A0E2C" w:rsidRDefault="00332206">
      <w:pPr>
        <w:pStyle w:val="Domylnie"/>
        <w:spacing w:line="360" w:lineRule="auto"/>
        <w:jc w:val="both"/>
      </w:pPr>
      <w:r>
        <w:t>Finansujący natomiast odpowiada za te wady rzeczy, które powstały w czasie, gdy przedmiot pozostawał w posiadaniu Finansującego (w czasie pomiędzy nabyciem przedmiotu leasingu a oddaniem go Korzystającemu, jak również w</w:t>
      </w:r>
      <w:r>
        <w:t xml:space="preserve"> czasie wykonywania prawa kontroli przedmiotu leasingu, wykonywanego na podstawie art. 709(7) §3 k</w:t>
      </w:r>
      <w:bookmarkStart w:id="1" w:name="_GoBack"/>
      <w:bookmarkEnd w:id="1"/>
      <w:r>
        <w:t>.c.).</w:t>
      </w:r>
      <w:r>
        <w:t xml:space="preserve"> Jeżeli byłoby możliwe postawienie Finansującemu zarzutu, iż nie dopełnił przy nabyciu rzeczy aktów staranności, które pozwoliłyby na ujawnienie wady pra</w:t>
      </w:r>
      <w:r>
        <w:t xml:space="preserve">wnej, należy przyjąć, że ta wada, skutkująca niemożnością skutecznego jej nabycia i dysponowania w postaci oddania jej do używania korzystającemu przez czas oznaczony, powstała na skutek okoliczności, za które Finansujący ponosi odpowiedzialność. W takiej </w:t>
      </w:r>
      <w:r>
        <w:t xml:space="preserve">zaś sytuacji zastosowanie mają na zasadzie </w:t>
      </w:r>
      <w:hyperlink r:id="rId7" w:history="1">
        <w:r>
          <w:rPr>
            <w:rStyle w:val="Hyperlink0"/>
          </w:rPr>
          <w:t>art. 709 (17)</w:t>
        </w:r>
      </w:hyperlink>
      <w:r>
        <w:t xml:space="preserve"> k.c. przepisy o najmie (</w:t>
      </w:r>
      <w:hyperlink r:id="rId8" w:history="1">
        <w:r>
          <w:rPr>
            <w:rStyle w:val="Hyperlink0"/>
          </w:rPr>
          <w:t>art. 664 § 2</w:t>
        </w:r>
      </w:hyperlink>
      <w:r>
        <w:t xml:space="preserve"> k.c.), a postanowienia umowne mniej korzystne dla korzystającego są nieważne (art. 709 (8) § 1 </w:t>
      </w:r>
      <w:proofErr w:type="spellStart"/>
      <w:r>
        <w:t>zd</w:t>
      </w:r>
      <w:proofErr w:type="spellEnd"/>
      <w:r>
        <w:t xml:space="preserve">. 2 k.c.). Co do zasady natychmiastowe wypowiedzenie kończy stosunek prawny między stronami, zatem </w:t>
      </w:r>
      <w:r>
        <w:t xml:space="preserve">roszczenia o zapłatę czynszu są bezpodstawne. W takim więc przypadku art. 709 (8) § 5 </w:t>
      </w:r>
      <w:proofErr w:type="spellStart"/>
      <w:r>
        <w:t>zd</w:t>
      </w:r>
      <w:proofErr w:type="spellEnd"/>
      <w:r>
        <w:t xml:space="preserve">. 2 k.c. nie będzie miał zastosowania (tak wyr. SA w Łodzi z 18 listopada 2014 r., </w:t>
      </w:r>
      <w:hyperlink r:id="rId9" w:history="1">
        <w:r>
          <w:rPr>
            <w:rStyle w:val="Hyperlink0"/>
          </w:rPr>
          <w:t>I ACA 1086/14</w:t>
        </w:r>
      </w:hyperlink>
      <w:r>
        <w:t xml:space="preserve">, </w:t>
      </w:r>
      <w:proofErr w:type="spellStart"/>
      <w:r>
        <w:t>Legalis</w:t>
      </w:r>
      <w:proofErr w:type="spellEnd"/>
      <w:r>
        <w:t>).</w:t>
      </w:r>
      <w:r>
        <w:rPr>
          <w:rStyle w:val="Brak"/>
        </w:rPr>
        <w:t xml:space="preserve"> </w:t>
      </w:r>
    </w:p>
    <w:p w:rsidR="001A0E2C" w:rsidRDefault="00332206">
      <w:pPr>
        <w:spacing w:line="360" w:lineRule="auto"/>
        <w:jc w:val="both"/>
      </w:pPr>
      <w:r>
        <w:t xml:space="preserve">W tym miejscu należy przywołać wyrok Sądu Apelacyjnego w Warszawie z dnia 14 stycznia 2015 r., sygn. akt: VI </w:t>
      </w:r>
      <w:proofErr w:type="spellStart"/>
      <w:r>
        <w:t>ACa</w:t>
      </w:r>
      <w:proofErr w:type="spellEnd"/>
      <w:r>
        <w:t xml:space="preserve"> 485/14 (</w:t>
      </w:r>
      <w:proofErr w:type="spellStart"/>
      <w:r>
        <w:t>Legalis</w:t>
      </w:r>
      <w:proofErr w:type="spellEnd"/>
      <w:r>
        <w:t>):</w:t>
      </w:r>
    </w:p>
    <w:p w:rsidR="001A0E2C" w:rsidRDefault="00332206">
      <w:pPr>
        <w:spacing w:line="360" w:lineRule="auto"/>
        <w:jc w:val="both"/>
        <w:rPr>
          <w:rStyle w:val="Brak"/>
        </w:rPr>
      </w:pPr>
      <w:r>
        <w:t xml:space="preserve">1. Odpowiednie stosowanie regulacji przewidzianej dla kodeksowej umowy leasingu finansowanego </w:t>
      </w:r>
      <w:r>
        <w:t>pośredniego do odpowiedzialności za wady w przypadku leasingu operacyjnego bezpośredniego nie może prowadzić do całkowitego wyłączenia odpowiedzialności leasingodawcy jako właściciela rzeczy z uwagi na sprzeczność z naturą stosunku prawnego. Wobec nieuregu</w:t>
      </w:r>
      <w:r>
        <w:t>lowania tej sytuacji prawnej w umowie stron, jak i w związku niedopuszczalnością całkowitego wyłączenia odpowiedzialności za wady przedmiotu umowy, w takiej sytuacji zastosowanie ma przepis art. 664 k.c..</w:t>
      </w:r>
    </w:p>
    <w:p w:rsidR="001A0E2C" w:rsidRDefault="00332206">
      <w:pPr>
        <w:spacing w:line="360" w:lineRule="auto"/>
        <w:jc w:val="both"/>
        <w:rPr>
          <w:rStyle w:val="Brak"/>
        </w:rPr>
      </w:pPr>
      <w:r>
        <w:rPr>
          <w:rStyle w:val="Brak"/>
        </w:rPr>
        <w:lastRenderedPageBreak/>
        <w:t>2. Skoro w świetle art. 664 k.c. w przypadku wady o</w:t>
      </w:r>
      <w:r>
        <w:rPr>
          <w:rStyle w:val="Brak"/>
        </w:rPr>
        <w:t>graniczającej przydatność rzeczy do umówionego użytku najemca może żądać obniżenia czynszu, to wada wyłączająca określone w umowie używanie rzeczy tym bardziej uzasadnia zwolnienie z zapłaty czynszu za czas trwania wady.</w:t>
      </w:r>
    </w:p>
    <w:p w:rsidR="001A0E2C" w:rsidRDefault="001A0E2C">
      <w:pPr>
        <w:pStyle w:val="Nagwek1"/>
        <w:rPr>
          <w:rStyle w:val="Brak"/>
          <w:u w:val="none"/>
        </w:rPr>
      </w:pPr>
    </w:p>
    <w:p w:rsidR="001A0E2C" w:rsidRDefault="00332206">
      <w:pPr>
        <w:pStyle w:val="Nagwek1"/>
      </w:pPr>
      <w:r>
        <w:rPr>
          <w:rStyle w:val="Brak"/>
          <w:rFonts w:eastAsia="Arial Unicode MS" w:cs="Arial Unicode MS"/>
          <w:u w:val="none"/>
        </w:rPr>
        <w:t xml:space="preserve">Gwarancja  </w:t>
      </w:r>
    </w:p>
    <w:p w:rsidR="001A0E2C" w:rsidRDefault="00332206">
      <w:pPr>
        <w:pStyle w:val="Domylnie"/>
        <w:spacing w:line="360" w:lineRule="auto"/>
        <w:jc w:val="both"/>
      </w:pPr>
      <w:r>
        <w:t xml:space="preserve"> </w:t>
      </w:r>
      <w:bookmarkEnd w:id="0"/>
      <w:r>
        <w:t xml:space="preserve">Pojęcie wady fizycznej </w:t>
      </w:r>
      <w:r>
        <w:t>rzeczy w rozumieniu gwarancji i w rozumieniu rękojmi nie zawsze jest tożsame.</w:t>
      </w:r>
    </w:p>
    <w:p w:rsidR="001A0E2C" w:rsidRDefault="00332206">
      <w:pPr>
        <w:pStyle w:val="Domylnie"/>
        <w:spacing w:line="360" w:lineRule="auto"/>
        <w:jc w:val="both"/>
      </w:pPr>
      <w:r>
        <w:t>Gwarancja stanowi zapewnienie, że dana rzecz jest dobrej jakości, a w wypadku wystąpienia wady w toku zgodnej z przeznaczeniem eksploatacji, zostanie ona usunięta przez naprawę l</w:t>
      </w:r>
      <w:r>
        <w:t>ub będzie dostarczona rzecz wolna od wad. Zatem odpowiedzialność dającego gwarancję obejmuje zwykle funkcjonowanie rzeczy.</w:t>
      </w:r>
    </w:p>
    <w:p w:rsidR="001A0E2C" w:rsidRDefault="00332206">
      <w:pPr>
        <w:pStyle w:val="Domylnie"/>
        <w:spacing w:line="360" w:lineRule="auto"/>
        <w:jc w:val="both"/>
      </w:pPr>
      <w:r>
        <w:t xml:space="preserve">Tymczasem jedną z postaci wadliwości przy rękojmi jest brak właściwości, o której istnieniu zapewnił sprzedający, co nie wyłącza, że </w:t>
      </w:r>
      <w:r>
        <w:t xml:space="preserve">dostarczona rzecz jest dobrej jakości, zgodnie z normami określającymi cechy gatunkowe i prawidłowo działa. </w:t>
      </w:r>
    </w:p>
    <w:p w:rsidR="001A0E2C" w:rsidRDefault="00332206">
      <w:pPr>
        <w:pStyle w:val="Domylnie"/>
        <w:spacing w:line="360" w:lineRule="auto"/>
        <w:jc w:val="both"/>
      </w:pPr>
      <w:r>
        <w:t xml:space="preserve"> (Wyrok S.A. w Warszawie z dnia 22 stycznia 1997r., I </w:t>
      </w:r>
      <w:proofErr w:type="spellStart"/>
      <w:r>
        <w:t>A</w:t>
      </w:r>
      <w:r>
        <w:t>Ca</w:t>
      </w:r>
      <w:proofErr w:type="spellEnd"/>
      <w:r>
        <w:t xml:space="preserve"> 105/96</w:t>
      </w:r>
      <w:r>
        <w:t xml:space="preserve">, </w:t>
      </w:r>
      <w:proofErr w:type="spellStart"/>
      <w:r>
        <w:t>Legalis</w:t>
      </w:r>
      <w:proofErr w:type="spellEnd"/>
      <w:r>
        <w:t>).</w:t>
      </w:r>
      <w:r>
        <w:t xml:space="preserve">Wykonanie zobowiązania z gwarancji gdy w następstwie dokonanego przez gwaranta w myśl </w:t>
      </w:r>
      <w:hyperlink r:id="rId10" w:history="1">
        <w:bookmarkStart w:id="2" w:name="target_link_mrswglrrhaydgmjtgu3telrt_mfr"/>
        <w:r>
          <w:rPr>
            <w:rStyle w:val="Hyperlink0"/>
          </w:rPr>
          <w:t>art. 577 § 1</w:t>
        </w:r>
      </w:hyperlink>
      <w:r>
        <w:t xml:space="preserve"> k.c. wyboru, zostało ono jak w rozpoznawanej sprawie zindywidualizowane jako naprawa rzeczy, polega nie tylko na usunięciu wszystkich ujawnionych</w:t>
      </w:r>
      <w:r>
        <w:t xml:space="preserve"> wad rzeczy wynikłych z przyczyn w niej tkwiących, ale także na skuteczności tej naprawy, co oznacza, iż usunięto wady w sposób eliminujący możliwość ponownego wystąpienia tych samych wad. nie każda bowiem naprawa, lecz tylko naprawa skuteczna przywraca up</w:t>
      </w:r>
      <w:r>
        <w:t xml:space="preserve">rawnionemu z gwarancji możność niezakłóconego korzystania z rzeczy zgodnie z jej przeznaczeniem. </w:t>
      </w:r>
      <w:r>
        <w:t xml:space="preserve"> – </w:t>
      </w:r>
      <w:r>
        <w:t xml:space="preserve">z uzasadnienia </w:t>
      </w:r>
      <w:r>
        <w:t>wyrok</w:t>
      </w:r>
      <w:r>
        <w:t>u</w:t>
      </w:r>
      <w:r>
        <w:t xml:space="preserve"> SN z dnia 26 listopada 1996r., II CKU 35/96</w:t>
      </w:r>
      <w:r>
        <w:t xml:space="preserve">, </w:t>
      </w:r>
      <w:proofErr w:type="spellStart"/>
      <w:r>
        <w:t>Legalis</w:t>
      </w:r>
      <w:proofErr w:type="spellEnd"/>
      <w:r>
        <w:t>.</w:t>
      </w:r>
    </w:p>
    <w:p w:rsidR="001A0E2C" w:rsidRDefault="00332206">
      <w:pPr>
        <w:pStyle w:val="TextBody"/>
      </w:pPr>
      <w:r>
        <w:t xml:space="preserve">Wyrok SN z </w:t>
      </w:r>
      <w:r>
        <w:t>1 października 2000r., III CKN 270/99; postanowienie SN z dnia 05 m</w:t>
      </w:r>
      <w:r>
        <w:t>arca 2005r. ; III CZP 101/02; wyrok SN z dnia 16 kwietnia 2004r. I CK 599/03 – Umowa gwarancji może ograniczyć obowiązki gwaranta do naprawy rzeczy i wyłączyć możliwość żądania wymiany rzeczy wadliwej na wolną od wad.</w:t>
      </w:r>
    </w:p>
    <w:p w:rsidR="001A0E2C" w:rsidRDefault="001A0E2C">
      <w:pPr>
        <w:pStyle w:val="TextBody"/>
      </w:pPr>
    </w:p>
    <w:p w:rsidR="001A0E2C" w:rsidRDefault="00332206">
      <w:pPr>
        <w:pStyle w:val="TextBody"/>
      </w:pPr>
      <w:r>
        <w:t>Forma gwarancji</w:t>
      </w:r>
    </w:p>
    <w:p w:rsidR="001A0E2C" w:rsidRDefault="001A0E2C">
      <w:pPr>
        <w:pStyle w:val="TextBody"/>
      </w:pPr>
    </w:p>
    <w:p w:rsidR="001A0E2C" w:rsidRDefault="00332206">
      <w:pPr>
        <w:pStyle w:val="Domylnie"/>
        <w:spacing w:line="360" w:lineRule="auto"/>
        <w:jc w:val="both"/>
      </w:pPr>
      <w:r>
        <w:t>Zgodnie z Wyrokiem</w:t>
      </w:r>
      <w:r>
        <w:rPr>
          <w:rStyle w:val="Brak"/>
          <w:b/>
          <w:bCs/>
        </w:rPr>
        <w:t xml:space="preserve"> </w:t>
      </w:r>
      <w:r>
        <w:t>S</w:t>
      </w:r>
      <w:r>
        <w:t xml:space="preserve">ądu Apelacyjnego w Warszawie z dnia 14 lutego 2003 r. </w:t>
      </w:r>
      <w:r>
        <w:rPr>
          <w:rStyle w:val="Brak"/>
          <w:b/>
          <w:bCs/>
        </w:rPr>
        <w:t xml:space="preserve">I </w:t>
      </w:r>
      <w:proofErr w:type="spellStart"/>
      <w:r>
        <w:rPr>
          <w:rStyle w:val="Brak"/>
          <w:b/>
          <w:bCs/>
        </w:rPr>
        <w:t>ACa</w:t>
      </w:r>
      <w:proofErr w:type="spellEnd"/>
      <w:r>
        <w:rPr>
          <w:rStyle w:val="Brak"/>
          <w:b/>
          <w:bCs/>
        </w:rPr>
        <w:t xml:space="preserve"> 850/02 </w:t>
      </w:r>
      <w:r>
        <w:t>treść gwarancji określa gwarant indywidualnie za zgodą kupującego, a kupujący nie musi godzić się na udzielenie mu gwarancji, a więc na coś więcej niż przewiduje sama umowa sprzedaży. Przyj</w:t>
      </w:r>
      <w:r>
        <w:t xml:space="preserve">mując </w:t>
      </w:r>
      <w:r>
        <w:lastRenderedPageBreak/>
        <w:t>gwarancję, czy to producenta, czy też sprzedawcy, kupujący zawiera z nim umowę dodatkową o treści opisanej w dokumencie gwarancji.</w:t>
      </w:r>
    </w:p>
    <w:p w:rsidR="001A0E2C" w:rsidRDefault="00332206">
      <w:pPr>
        <w:pStyle w:val="Domylnie"/>
        <w:spacing w:line="360" w:lineRule="auto"/>
        <w:jc w:val="both"/>
      </w:pPr>
      <w:r>
        <w:t>Ponadto strony mogą przyznać kupującemu roszczenie gwarancyjne w mniejszym zakresie, aniżeli wynika to z przepisów o gw</w:t>
      </w:r>
      <w:r>
        <w:t>arancji. Udzielenie gwarancji tylko do bezpłatnej naprawy lub wymiany uszkodzonych części nie przekracza granic, swobody stron w kształtowaniu stosunku prawnego określonych w art. 353</w:t>
      </w:r>
      <w:r>
        <w:rPr>
          <w:rStyle w:val="Brak"/>
          <w:vertAlign w:val="superscript"/>
        </w:rPr>
        <w:t>1</w:t>
      </w:r>
      <w:r>
        <w:t xml:space="preserve"> </w:t>
      </w:r>
      <w:proofErr w:type="spellStart"/>
      <w:r>
        <w:t>kc</w:t>
      </w:r>
      <w:proofErr w:type="spellEnd"/>
      <w:r>
        <w:t>. Podobne stanowisko zaprezentowano w Postanowieniu</w:t>
      </w:r>
      <w:r>
        <w:rPr>
          <w:rStyle w:val="Brak"/>
          <w:b/>
          <w:bCs/>
        </w:rPr>
        <w:t xml:space="preserve"> </w:t>
      </w:r>
      <w:r>
        <w:t xml:space="preserve">Sądu Najwyższego </w:t>
      </w:r>
      <w:r>
        <w:t xml:space="preserve">dnia 5 marca 2003 r. </w:t>
      </w:r>
      <w:r>
        <w:rPr>
          <w:rStyle w:val="Brak"/>
          <w:b/>
          <w:bCs/>
        </w:rPr>
        <w:t xml:space="preserve">III CZP 101/02. </w:t>
      </w:r>
    </w:p>
    <w:p w:rsidR="001A0E2C" w:rsidRDefault="00332206">
      <w:pPr>
        <w:pStyle w:val="Domylnie"/>
        <w:spacing w:line="360" w:lineRule="auto"/>
        <w:jc w:val="both"/>
      </w:pPr>
      <w:r>
        <w:t>W</w:t>
      </w:r>
      <w:r>
        <w:rPr>
          <w:rStyle w:val="Brak"/>
          <w:b/>
          <w:bCs/>
        </w:rPr>
        <w:t xml:space="preserve"> </w:t>
      </w:r>
      <w:r>
        <w:t>wyroku</w:t>
      </w:r>
      <w:r>
        <w:rPr>
          <w:rStyle w:val="Brak"/>
          <w:b/>
          <w:bCs/>
        </w:rPr>
        <w:t xml:space="preserve"> </w:t>
      </w:r>
      <w:r>
        <w:t xml:space="preserve">Sądu Najwyższego z dnia 16 kwietnia 2004 r. </w:t>
      </w:r>
      <w:r>
        <w:rPr>
          <w:rStyle w:val="Brak"/>
          <w:b/>
          <w:bCs/>
        </w:rPr>
        <w:t xml:space="preserve">I CK 599/03 </w:t>
      </w:r>
      <w:r>
        <w:t>stwierdzono, iż</w:t>
      </w:r>
      <w:r>
        <w:rPr>
          <w:rStyle w:val="Brak"/>
          <w:b/>
          <w:bCs/>
        </w:rPr>
        <w:t xml:space="preserve"> </w:t>
      </w:r>
      <w:r>
        <w:t>umowa gwarancji jakości może ograniczyć obowiązki gwaranta do naprawy rzeczy i wyłączyć możliwość żądania wymiany rzeczy wadliwej na woln</w:t>
      </w:r>
      <w:r>
        <w:t>ą od wad. Stanowisko to potwierdza się również w wyroku</w:t>
      </w:r>
      <w:r>
        <w:rPr>
          <w:rStyle w:val="Brak"/>
          <w:b/>
          <w:bCs/>
        </w:rPr>
        <w:t xml:space="preserve"> </w:t>
      </w:r>
      <w:r>
        <w:t xml:space="preserve">Sądu Apelacyjnego w Gdańsku z dnia 23 września 2009 r. </w:t>
      </w:r>
      <w:r>
        <w:rPr>
          <w:rStyle w:val="Brak"/>
          <w:b/>
          <w:bCs/>
        </w:rPr>
        <w:t xml:space="preserve">I </w:t>
      </w:r>
      <w:proofErr w:type="spellStart"/>
      <w:r>
        <w:rPr>
          <w:rStyle w:val="Brak"/>
          <w:b/>
          <w:bCs/>
        </w:rPr>
        <w:t>ACa</w:t>
      </w:r>
      <w:proofErr w:type="spellEnd"/>
      <w:r>
        <w:rPr>
          <w:rStyle w:val="Brak"/>
          <w:b/>
          <w:bCs/>
        </w:rPr>
        <w:t xml:space="preserve"> 712/09, </w:t>
      </w:r>
      <w:r>
        <w:t>zgodnie z którym stosunek gwarancji ma charakter umowny i podlega zasadzie swobody umów, co oznacza, że treść zobowiązania gwaranta</w:t>
      </w:r>
      <w:r>
        <w:t xml:space="preserve"> może być co do zasady określona swobodnie, co umożliwia również ograniczenia obowiązków z gwarancji.</w:t>
      </w:r>
    </w:p>
    <w:p w:rsidR="001A0E2C" w:rsidRDefault="001A0E2C">
      <w:pPr>
        <w:pStyle w:val="Domylnie"/>
        <w:spacing w:line="360" w:lineRule="auto"/>
        <w:jc w:val="both"/>
      </w:pPr>
    </w:p>
    <w:p w:rsidR="001A0E2C" w:rsidRDefault="00332206">
      <w:pPr>
        <w:pStyle w:val="Domylnie"/>
        <w:spacing w:line="360" w:lineRule="auto"/>
        <w:jc w:val="both"/>
      </w:pPr>
      <w:r>
        <w:t>Zatem dokument gwarancyjny wystawiany przez sprzedawcę lub producenta jako dodatkowa, dobrowolna umowa może być ukształtowana w dowolny sposób w zakresie</w:t>
      </w:r>
      <w:r>
        <w:t xml:space="preserve"> jej obowiązywania, sposobu naprawienia przedmiotu, czasu realizacji i wymagań związanych z trybem realizowania uprawnienia płynącego z gwarancji.</w:t>
      </w:r>
    </w:p>
    <w:p w:rsidR="001A0E2C" w:rsidRDefault="00332206">
      <w:pPr>
        <w:pStyle w:val="Domylnie"/>
        <w:spacing w:line="360" w:lineRule="auto"/>
        <w:jc w:val="both"/>
        <w:rPr>
          <w:rStyle w:val="Brak"/>
        </w:rPr>
      </w:pPr>
      <w:r>
        <w:t xml:space="preserve">  </w:t>
      </w:r>
    </w:p>
    <w:p w:rsidR="001A0E2C" w:rsidRDefault="00332206">
      <w:pPr>
        <w:pStyle w:val="Nagwek1"/>
        <w:rPr>
          <w:rStyle w:val="Brak"/>
          <w:u w:val="none"/>
        </w:rPr>
      </w:pPr>
      <w:r>
        <w:rPr>
          <w:rStyle w:val="Brak"/>
          <w:rFonts w:eastAsia="Arial Unicode MS" w:cs="Arial Unicode MS"/>
          <w:u w:val="none"/>
        </w:rPr>
        <w:t>Og</w:t>
      </w:r>
      <w:r>
        <w:rPr>
          <w:rStyle w:val="Brak"/>
          <w:rFonts w:eastAsia="Arial Unicode MS" w:cs="Arial Unicode MS"/>
          <w:u w:val="none"/>
        </w:rPr>
        <w:t>ó</w:t>
      </w:r>
      <w:r>
        <w:rPr>
          <w:rStyle w:val="Brak"/>
          <w:rFonts w:eastAsia="Arial Unicode MS" w:cs="Arial Unicode MS"/>
          <w:u w:val="none"/>
        </w:rPr>
        <w:t>ln</w:t>
      </w:r>
      <w:r>
        <w:rPr>
          <w:rStyle w:val="Brak"/>
          <w:rFonts w:eastAsia="Arial Unicode MS" w:cs="Arial Unicode MS"/>
          <w:u w:val="none"/>
        </w:rPr>
        <w:t xml:space="preserve">ą </w:t>
      </w:r>
      <w:r>
        <w:rPr>
          <w:rStyle w:val="Brak"/>
          <w:rFonts w:eastAsia="Arial Unicode MS" w:cs="Arial Unicode MS"/>
          <w:u w:val="none"/>
        </w:rPr>
        <w:t>przes</w:t>
      </w:r>
      <w:r>
        <w:rPr>
          <w:rStyle w:val="Brak"/>
          <w:rFonts w:eastAsia="Arial Unicode MS" w:cs="Arial Unicode MS"/>
          <w:u w:val="none"/>
        </w:rPr>
        <w:t>ł</w:t>
      </w:r>
      <w:r>
        <w:rPr>
          <w:rStyle w:val="Brak"/>
          <w:rFonts w:eastAsia="Arial Unicode MS" w:cs="Arial Unicode MS"/>
          <w:u w:val="none"/>
        </w:rPr>
        <w:t>ank</w:t>
      </w:r>
      <w:r>
        <w:rPr>
          <w:rStyle w:val="Brak"/>
          <w:rFonts w:eastAsia="Arial Unicode MS" w:cs="Arial Unicode MS"/>
          <w:u w:val="none"/>
        </w:rPr>
        <w:t xml:space="preserve">ą </w:t>
      </w:r>
      <w:r>
        <w:rPr>
          <w:rStyle w:val="Brak"/>
          <w:rFonts w:eastAsia="Arial Unicode MS" w:cs="Arial Unicode MS"/>
          <w:u w:val="none"/>
        </w:rPr>
        <w:t>skorzystania z gwarancji jest ujawnienie si</w:t>
      </w:r>
      <w:r>
        <w:rPr>
          <w:rStyle w:val="Brak"/>
          <w:rFonts w:eastAsia="Arial Unicode MS" w:cs="Arial Unicode MS"/>
          <w:u w:val="none"/>
        </w:rPr>
        <w:t xml:space="preserve">ę </w:t>
      </w:r>
      <w:r>
        <w:rPr>
          <w:rStyle w:val="Brak"/>
          <w:rFonts w:eastAsia="Arial Unicode MS" w:cs="Arial Unicode MS"/>
          <w:u w:val="none"/>
        </w:rPr>
        <w:t>wady przed up</w:t>
      </w:r>
      <w:r>
        <w:rPr>
          <w:rStyle w:val="Brak"/>
          <w:rFonts w:eastAsia="Arial Unicode MS" w:cs="Arial Unicode MS"/>
          <w:u w:val="none"/>
        </w:rPr>
        <w:t>ł</w:t>
      </w:r>
      <w:r>
        <w:rPr>
          <w:rStyle w:val="Brak"/>
          <w:rFonts w:eastAsia="Arial Unicode MS" w:cs="Arial Unicode MS"/>
          <w:u w:val="none"/>
        </w:rPr>
        <w:t>ywem okresu gwarancji, kt</w:t>
      </w:r>
      <w:r>
        <w:rPr>
          <w:rStyle w:val="Brak"/>
          <w:rFonts w:eastAsia="Arial Unicode MS" w:cs="Arial Unicode MS"/>
          <w:u w:val="none"/>
        </w:rPr>
        <w:t>ó</w:t>
      </w:r>
      <w:r>
        <w:rPr>
          <w:rStyle w:val="Brak"/>
          <w:rFonts w:eastAsia="Arial Unicode MS" w:cs="Arial Unicode MS"/>
          <w:u w:val="none"/>
        </w:rPr>
        <w:t xml:space="preserve">ry </w:t>
      </w:r>
      <w:r>
        <w:rPr>
          <w:rStyle w:val="Brak"/>
          <w:rFonts w:eastAsia="Arial Unicode MS" w:cs="Arial Unicode MS"/>
          <w:u w:val="none"/>
        </w:rPr>
        <w:t>rozpoczyna si</w:t>
      </w:r>
      <w:r>
        <w:rPr>
          <w:rStyle w:val="Brak"/>
          <w:rFonts w:eastAsia="Arial Unicode MS" w:cs="Arial Unicode MS"/>
          <w:u w:val="none"/>
        </w:rPr>
        <w:t xml:space="preserve">ę </w:t>
      </w:r>
      <w:r>
        <w:rPr>
          <w:rStyle w:val="Brak"/>
          <w:rFonts w:eastAsia="Arial Unicode MS" w:cs="Arial Unicode MS"/>
          <w:u w:val="none"/>
        </w:rPr>
        <w:t>z dniem wydania rzeczy (okres gwarancji podany jest w dokumencie gwarancyjnym).</w:t>
      </w:r>
    </w:p>
    <w:p w:rsidR="001A0E2C" w:rsidRDefault="00332206">
      <w:pPr>
        <w:pStyle w:val="Nagwek1"/>
      </w:pPr>
      <w:r>
        <w:rPr>
          <w:rStyle w:val="Brak"/>
          <w:rFonts w:eastAsia="Arial Unicode MS" w:cs="Arial Unicode MS"/>
          <w:u w:val="none"/>
        </w:rPr>
        <w:t>Skorzystanie z uprawnienia do naprawy rzeczy na podstawie gwarancji poci</w:t>
      </w:r>
      <w:r>
        <w:rPr>
          <w:rStyle w:val="Brak"/>
          <w:rFonts w:eastAsia="Arial Unicode MS" w:cs="Arial Unicode MS"/>
          <w:u w:val="none"/>
        </w:rPr>
        <w:t>ą</w:t>
      </w:r>
      <w:r>
        <w:rPr>
          <w:rStyle w:val="Brak"/>
          <w:rFonts w:eastAsia="Arial Unicode MS" w:cs="Arial Unicode MS"/>
          <w:u w:val="none"/>
        </w:rPr>
        <w:t>ga za sob</w:t>
      </w:r>
      <w:r>
        <w:rPr>
          <w:rStyle w:val="Brak"/>
          <w:rFonts w:eastAsia="Arial Unicode MS" w:cs="Arial Unicode MS"/>
          <w:u w:val="none"/>
        </w:rPr>
        <w:t xml:space="preserve">ą </w:t>
      </w:r>
      <w:r>
        <w:rPr>
          <w:rStyle w:val="Brak"/>
          <w:rFonts w:eastAsia="Arial Unicode MS" w:cs="Arial Unicode MS"/>
          <w:u w:val="none"/>
        </w:rPr>
        <w:t>wym</w:t>
      </w:r>
      <w:r>
        <w:rPr>
          <w:rStyle w:val="Brak"/>
          <w:rFonts w:eastAsia="Arial Unicode MS" w:cs="Arial Unicode MS"/>
          <w:u w:val="none"/>
        </w:rPr>
        <w:t>ó</w:t>
      </w:r>
      <w:r>
        <w:rPr>
          <w:rStyle w:val="Brak"/>
          <w:rFonts w:eastAsia="Arial Unicode MS" w:cs="Arial Unicode MS"/>
          <w:u w:val="none"/>
        </w:rPr>
        <w:t>g spe</w:t>
      </w:r>
      <w:r>
        <w:rPr>
          <w:rStyle w:val="Brak"/>
          <w:rFonts w:eastAsia="Arial Unicode MS" w:cs="Arial Unicode MS"/>
          <w:u w:val="none"/>
        </w:rPr>
        <w:t>ł</w:t>
      </w:r>
      <w:r>
        <w:rPr>
          <w:rStyle w:val="Brak"/>
          <w:rFonts w:eastAsia="Arial Unicode MS" w:cs="Arial Unicode MS"/>
          <w:u w:val="none"/>
        </w:rPr>
        <w:t>nienia warunk</w:t>
      </w:r>
      <w:r>
        <w:rPr>
          <w:rStyle w:val="Brak"/>
          <w:rFonts w:eastAsia="Arial Unicode MS" w:cs="Arial Unicode MS"/>
          <w:u w:val="none"/>
        </w:rPr>
        <w:t>ó</w:t>
      </w:r>
      <w:r>
        <w:rPr>
          <w:rStyle w:val="Brak"/>
          <w:rFonts w:eastAsia="Arial Unicode MS" w:cs="Arial Unicode MS"/>
          <w:u w:val="none"/>
        </w:rPr>
        <w:t>w okre</w:t>
      </w:r>
      <w:r>
        <w:rPr>
          <w:rStyle w:val="Brak"/>
          <w:rFonts w:eastAsia="Arial Unicode MS" w:cs="Arial Unicode MS"/>
          <w:u w:val="none"/>
        </w:rPr>
        <w:t>ś</w:t>
      </w:r>
      <w:r>
        <w:rPr>
          <w:rStyle w:val="Brak"/>
          <w:rFonts w:eastAsia="Arial Unicode MS" w:cs="Arial Unicode MS"/>
          <w:u w:val="none"/>
        </w:rPr>
        <w:t>laj</w:t>
      </w:r>
      <w:r>
        <w:rPr>
          <w:rStyle w:val="Brak"/>
          <w:rFonts w:eastAsia="Arial Unicode MS" w:cs="Arial Unicode MS"/>
          <w:u w:val="none"/>
        </w:rPr>
        <w:t>ą</w:t>
      </w:r>
      <w:r>
        <w:rPr>
          <w:rStyle w:val="Brak"/>
          <w:rFonts w:eastAsia="Arial Unicode MS" w:cs="Arial Unicode MS"/>
          <w:u w:val="none"/>
        </w:rPr>
        <w:t>cych spos</w:t>
      </w:r>
      <w:r>
        <w:rPr>
          <w:rStyle w:val="Brak"/>
          <w:rFonts w:eastAsia="Arial Unicode MS" w:cs="Arial Unicode MS"/>
          <w:u w:val="none"/>
        </w:rPr>
        <w:t>ó</w:t>
      </w:r>
      <w:r>
        <w:rPr>
          <w:rStyle w:val="Brak"/>
          <w:rFonts w:eastAsia="Arial Unicode MS" w:cs="Arial Unicode MS"/>
          <w:u w:val="none"/>
        </w:rPr>
        <w:t>b wykonywania uprawnienia z gwar</w:t>
      </w:r>
      <w:r>
        <w:rPr>
          <w:rStyle w:val="Brak"/>
          <w:rFonts w:eastAsia="Arial Unicode MS" w:cs="Arial Unicode MS"/>
          <w:u w:val="none"/>
        </w:rPr>
        <w:t>ancji (zawartych z umowie gwarancyjnej).</w:t>
      </w:r>
    </w:p>
    <w:p w:rsidR="001A0E2C" w:rsidRDefault="001A0E2C">
      <w:pPr>
        <w:pStyle w:val="Domylnie"/>
        <w:spacing w:line="360" w:lineRule="auto"/>
        <w:jc w:val="both"/>
      </w:pPr>
    </w:p>
    <w:p w:rsidR="001A0E2C" w:rsidRDefault="00332206">
      <w:pPr>
        <w:pStyle w:val="Domylnie"/>
        <w:spacing w:line="360" w:lineRule="auto"/>
        <w:jc w:val="both"/>
      </w:pPr>
      <w:r>
        <w:t xml:space="preserve">Zgodnie z art. 580 </w:t>
      </w:r>
      <w:r>
        <w:t xml:space="preserve">§ 1 </w:t>
      </w:r>
      <w:proofErr w:type="spellStart"/>
      <w:r>
        <w:t>kc</w:t>
      </w:r>
      <w:proofErr w:type="spellEnd"/>
      <w:r>
        <w:t xml:space="preserve"> korzystający powinien dostarczyć wadliwą rzecz na koszt gwaranta w miejsce wskazane w gwarancji (w dokumencie gwarancyjnym wskazywany często punkt serwisowy) lub do miejsca, w którym rzecz</w:t>
      </w:r>
      <w:r>
        <w:t xml:space="preserve"> została wydana przy udzieleniu gwarancji,  chyba że z okoliczności wynika, iż wada powinna być usunięta w miejscu, w którym rzecz znajdowała się w chwili ujawnienia wady (w przypadku przedmiotów większych rozmiarów, czy też zamontowanych na stałe, zasadne</w:t>
      </w:r>
      <w:r>
        <w:t xml:space="preserve"> będzie dokonania działań gwarancyjnych w miejscu ich położenia).</w:t>
      </w:r>
    </w:p>
    <w:p w:rsidR="001A0E2C" w:rsidRDefault="00332206">
      <w:pPr>
        <w:pStyle w:val="Domylnie"/>
        <w:spacing w:line="360" w:lineRule="auto"/>
        <w:jc w:val="both"/>
      </w:pPr>
      <w:r>
        <w:lastRenderedPageBreak/>
        <w:t xml:space="preserve">Gwarant często zastrzega, że wraz z przekazaniem rzeczy należy pisemnie określić wadliwość przedmiotu. Najczęściej udostępnia on specjalny formularz zgłoszenia gwarancji (zawiera miejsce na </w:t>
      </w:r>
      <w:r>
        <w:t>opisanie wady jak również informacji na temat samego przedmiotu – data zakupu, nazwa, typ, nr produkcyjny).</w:t>
      </w:r>
    </w:p>
    <w:p w:rsidR="001A0E2C" w:rsidRDefault="00332206">
      <w:pPr>
        <w:pStyle w:val="Domylnie"/>
        <w:spacing w:line="360" w:lineRule="auto"/>
        <w:jc w:val="both"/>
      </w:pPr>
      <w:r>
        <w:t xml:space="preserve"> </w:t>
      </w:r>
    </w:p>
    <w:p w:rsidR="001A0E2C" w:rsidRDefault="00332206">
      <w:pPr>
        <w:pStyle w:val="Domylnie"/>
        <w:spacing w:line="360" w:lineRule="auto"/>
        <w:jc w:val="both"/>
      </w:pPr>
      <w:r>
        <w:t>Czas, w jakim gwarant powinien wykonać swój obowiązek zazwyczaj wskazany jest w dokumencie gwarancyjnym. Jeśli takiego zastrzeżenia nie zawarto oz</w:t>
      </w:r>
      <w:r>
        <w:t xml:space="preserve">nacza to, że działania gwarancyjne powinny być spełnione niezwłocznie, w czasie niezbędnym do dokonania zmian, ale nie później niż w terminie czternastu dni, licząc od dnia dostarczenia rzeczy przez uprawnionego z gwarancji. </w:t>
      </w:r>
    </w:p>
    <w:p w:rsidR="001A0E2C" w:rsidRDefault="001A0E2C">
      <w:pPr>
        <w:pStyle w:val="Domylnie"/>
        <w:spacing w:line="360" w:lineRule="auto"/>
        <w:jc w:val="both"/>
      </w:pPr>
    </w:p>
    <w:p w:rsidR="001A0E2C" w:rsidRDefault="00332206">
      <w:pPr>
        <w:pStyle w:val="Domylnie"/>
        <w:spacing w:line="360" w:lineRule="auto"/>
        <w:jc w:val="both"/>
      </w:pPr>
      <w:r>
        <w:t>Po dokonaniu naprawy lub podj</w:t>
      </w:r>
      <w:r>
        <w:t>ęcia decyzji o wymianie wadliwego przedmiotu (lub rzeczy wadliwej w przedmiocie) gwarant zobowiązany jest dostarczyć przedmiot gwarancji na swój koszt osobie korzystającej z uprawnień wynikających z gwarancji.</w:t>
      </w:r>
    </w:p>
    <w:p w:rsidR="001A0E2C" w:rsidRDefault="001A0E2C">
      <w:pPr>
        <w:pStyle w:val="Domylnie"/>
        <w:spacing w:line="360" w:lineRule="auto"/>
        <w:jc w:val="both"/>
      </w:pPr>
    </w:p>
    <w:p w:rsidR="001A0E2C" w:rsidRDefault="00332206">
      <w:pPr>
        <w:pStyle w:val="Domylnie"/>
        <w:spacing w:line="360" w:lineRule="auto"/>
        <w:jc w:val="both"/>
      </w:pPr>
      <w:r>
        <w:t xml:space="preserve">Warto podkreślić, iż zgodnie z art. 581 </w:t>
      </w:r>
      <w:proofErr w:type="spellStart"/>
      <w:r>
        <w:t>kc</w:t>
      </w:r>
      <w:proofErr w:type="spellEnd"/>
      <w:r>
        <w:t>, j</w:t>
      </w:r>
      <w:r>
        <w:t xml:space="preserve">eżeli w wykonaniu swoich obowiązków gwarant dostarczył uprawnionemu z gwarancji zamiast rzeczy wadliwej rzecz wolną od wad albo dokonał istotnych napraw rzeczy objętej gwarancją, termin gwarancji biegnie na nowo od chwili dostarczenia rzeczy wolnej od wad </w:t>
      </w:r>
      <w:r>
        <w:t xml:space="preserve">lub zwrócenia rzeczy naprawionej. Jeżeli gwarant wymienił część rzeczy, przepis powyższy stosuje się odpowiednio do części wymienionej.    </w:t>
      </w:r>
    </w:p>
    <w:p w:rsidR="001A0E2C" w:rsidRDefault="001A0E2C">
      <w:pPr>
        <w:pStyle w:val="Domylnie"/>
        <w:spacing w:line="360" w:lineRule="auto"/>
        <w:jc w:val="both"/>
      </w:pPr>
    </w:p>
    <w:p w:rsidR="001A0E2C" w:rsidRDefault="001A0E2C">
      <w:pPr>
        <w:pStyle w:val="Domylnie"/>
        <w:spacing w:line="360" w:lineRule="auto"/>
        <w:jc w:val="both"/>
      </w:pPr>
    </w:p>
    <w:p w:rsidR="001A0E2C" w:rsidRDefault="001A0E2C">
      <w:pPr>
        <w:pStyle w:val="Domylnie"/>
        <w:spacing w:line="360" w:lineRule="auto"/>
      </w:pPr>
    </w:p>
    <w:p w:rsidR="001A0E2C" w:rsidRDefault="00332206">
      <w:pPr>
        <w:pStyle w:val="Domylnie"/>
        <w:spacing w:line="360" w:lineRule="auto"/>
      </w:pPr>
      <w:r>
        <w:t>W tekście wykorzystano m.</w:t>
      </w:r>
      <w:r>
        <w:t xml:space="preserve"> </w:t>
      </w:r>
      <w:r>
        <w:t>in materiały źródłowe:</w:t>
      </w:r>
    </w:p>
    <w:p w:rsidR="001A0E2C" w:rsidRDefault="001A0E2C">
      <w:pPr>
        <w:pStyle w:val="Domylnie"/>
        <w:spacing w:line="360" w:lineRule="auto"/>
      </w:pPr>
    </w:p>
    <w:p w:rsidR="001A0E2C" w:rsidRDefault="00332206">
      <w:pPr>
        <w:pStyle w:val="Domylnie"/>
        <w:spacing w:line="360" w:lineRule="auto"/>
        <w:jc w:val="both"/>
      </w:pPr>
      <w:r>
        <w:t>Tytuł Publikacji: Komentarz do Kodeksu cywilnego</w:t>
      </w:r>
    </w:p>
    <w:p w:rsidR="001A0E2C" w:rsidRDefault="00332206">
      <w:pPr>
        <w:pStyle w:val="Domylnie"/>
        <w:spacing w:line="360" w:lineRule="auto"/>
        <w:jc w:val="both"/>
      </w:pPr>
      <w:r>
        <w:t>Autor:</w:t>
      </w:r>
      <w:r>
        <w:tab/>
        <w:t>Zdzisła</w:t>
      </w:r>
      <w:r>
        <w:t>w Gawlik</w:t>
      </w:r>
    </w:p>
    <w:p w:rsidR="001A0E2C" w:rsidRDefault="00332206">
      <w:pPr>
        <w:pStyle w:val="Domylnie"/>
        <w:spacing w:line="360" w:lineRule="auto"/>
        <w:jc w:val="both"/>
      </w:pPr>
      <w:r>
        <w:t>Stan prawny:</w:t>
      </w:r>
      <w:r>
        <w:tab/>
        <w:t>2010.08.01</w:t>
      </w:r>
    </w:p>
    <w:p w:rsidR="001A0E2C" w:rsidRDefault="001A0E2C">
      <w:pPr>
        <w:pStyle w:val="Domylnie"/>
        <w:spacing w:line="360" w:lineRule="auto"/>
        <w:jc w:val="both"/>
      </w:pPr>
    </w:p>
    <w:p w:rsidR="001A0E2C" w:rsidRDefault="00332206">
      <w:pPr>
        <w:pStyle w:val="Domylnie"/>
        <w:spacing w:line="360" w:lineRule="auto"/>
        <w:jc w:val="both"/>
      </w:pPr>
      <w:r>
        <w:t>Tytuł Publikacji: Komentarz do Kodeksu cywilnego</w:t>
      </w:r>
    </w:p>
    <w:p w:rsidR="001A0E2C" w:rsidRDefault="00332206">
      <w:pPr>
        <w:pStyle w:val="Domylnie"/>
        <w:spacing w:line="360" w:lineRule="auto"/>
        <w:jc w:val="both"/>
      </w:pPr>
      <w:r>
        <w:t>Autor:</w:t>
      </w:r>
      <w:r>
        <w:tab/>
        <w:t xml:space="preserve">Katarzyna </w:t>
      </w:r>
      <w:proofErr w:type="spellStart"/>
      <w:r>
        <w:t>Kopaczyńska-Pieczniak</w:t>
      </w:r>
      <w:proofErr w:type="spellEnd"/>
    </w:p>
    <w:p w:rsidR="001A0E2C" w:rsidRDefault="00332206">
      <w:pPr>
        <w:pStyle w:val="Domylnie"/>
        <w:spacing w:line="360" w:lineRule="auto"/>
        <w:jc w:val="both"/>
      </w:pPr>
      <w:r>
        <w:t>Stan prawny:</w:t>
      </w:r>
      <w:r>
        <w:tab/>
        <w:t xml:space="preserve">2010.08.01 </w:t>
      </w:r>
    </w:p>
    <w:p w:rsidR="001A0E2C" w:rsidRDefault="00332206">
      <w:pPr>
        <w:pStyle w:val="Domylnie"/>
        <w:spacing w:line="360" w:lineRule="auto"/>
        <w:jc w:val="both"/>
      </w:pPr>
      <w:r>
        <w:t xml:space="preserve"> </w:t>
      </w:r>
    </w:p>
    <w:p w:rsidR="001A0E2C" w:rsidRDefault="00332206">
      <w:pPr>
        <w:pStyle w:val="Domylnie"/>
        <w:spacing w:line="360" w:lineRule="auto"/>
        <w:jc w:val="both"/>
      </w:pPr>
      <w:r>
        <w:t>Tytuł Publikacji:</w:t>
      </w:r>
      <w:bookmarkEnd w:id="2"/>
      <w:r>
        <w:t xml:space="preserve"> Kodeks cywilny. Komentarz</w:t>
      </w:r>
    </w:p>
    <w:tbl>
      <w:tblPr>
        <w:tblStyle w:val="TableNormal"/>
        <w:tblW w:w="67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</w:tblGrid>
      <w:tr w:rsidR="001A0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E2C" w:rsidRDefault="00332206">
            <w:pPr>
              <w:pStyle w:val="Zawartotabeli"/>
            </w:pPr>
            <w:r>
              <w:rPr>
                <w:rStyle w:val="Brak"/>
              </w:rPr>
              <w:lastRenderedPageBreak/>
              <w:t>Pod red: Edward Gniewek, Piotr Machnikowski</w:t>
            </w:r>
          </w:p>
        </w:tc>
      </w:tr>
      <w:tr w:rsidR="001A0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E2C" w:rsidRDefault="00332206">
            <w:pPr>
              <w:pStyle w:val="Zawartotabeli"/>
            </w:pPr>
            <w:r>
              <w:rPr>
                <w:rStyle w:val="Brak"/>
              </w:rPr>
              <w:t>Stan prawny: 2016</w:t>
            </w:r>
          </w:p>
        </w:tc>
      </w:tr>
    </w:tbl>
    <w:p w:rsidR="001A0E2C" w:rsidRDefault="001A0E2C">
      <w:pPr>
        <w:pStyle w:val="Domylnie"/>
        <w:widowControl w:val="0"/>
        <w:spacing w:line="240" w:lineRule="auto"/>
        <w:jc w:val="both"/>
      </w:pPr>
    </w:p>
    <w:p w:rsidR="001A0E2C" w:rsidRDefault="001A0E2C">
      <w:pPr>
        <w:pStyle w:val="Domylnie"/>
        <w:spacing w:line="360" w:lineRule="auto"/>
        <w:jc w:val="both"/>
      </w:pPr>
    </w:p>
    <w:sectPr w:rsidR="001A0E2C">
      <w:headerReference w:type="default" r:id="rId11"/>
      <w:footerReference w:type="default" r:id="rId12"/>
      <w:pgSz w:w="12780" w:h="16840"/>
      <w:pgMar w:top="1417" w:right="1417" w:bottom="1417" w:left="1417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06" w:rsidRDefault="00332206">
      <w:pPr>
        <w:spacing w:line="240" w:lineRule="auto"/>
      </w:pPr>
      <w:r>
        <w:separator/>
      </w:r>
    </w:p>
  </w:endnote>
  <w:endnote w:type="continuationSeparator" w:id="0">
    <w:p w:rsidR="00332206" w:rsidRDefault="00332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2C" w:rsidRDefault="001A0E2C">
    <w:pPr>
      <w:pStyle w:val="Domylnie"/>
      <w:spacing w:before="120"/>
      <w:ind w:right="35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06" w:rsidRDefault="00332206">
      <w:pPr>
        <w:spacing w:line="240" w:lineRule="auto"/>
      </w:pPr>
      <w:r>
        <w:separator/>
      </w:r>
    </w:p>
  </w:footnote>
  <w:footnote w:type="continuationSeparator" w:id="0">
    <w:p w:rsidR="00332206" w:rsidRDefault="00332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2C" w:rsidRDefault="001A0E2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0E2C"/>
    <w:rsid w:val="00007799"/>
    <w:rsid w:val="001A0E2C"/>
    <w:rsid w:val="0033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hd w:val="clear" w:color="auto" w:fill="FFFFFF"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styleId="Nagwek1">
    <w:name w:val="heading 1"/>
    <w:pPr>
      <w:keepNext/>
      <w:suppressAutoHyphens/>
      <w:spacing w:line="360" w:lineRule="auto"/>
      <w:ind w:left="432" w:hanging="432"/>
      <w:jc w:val="both"/>
      <w:outlineLvl w:val="0"/>
    </w:pPr>
    <w:rPr>
      <w:rFonts w:eastAsia="Times New Roman"/>
      <w:color w:val="00000A"/>
      <w:sz w:val="24"/>
      <w:szCs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line="100" w:lineRule="atLeast"/>
    </w:pPr>
    <w:rPr>
      <w:rFonts w:cs="Arial Unicode MS"/>
      <w:color w:val="00000A"/>
      <w:sz w:val="24"/>
      <w:szCs w:val="24"/>
      <w:u w:color="00000A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customStyle="1" w:styleId="TextBody">
    <w:name w:val="Text Body"/>
    <w:pPr>
      <w:suppressAutoHyphens/>
      <w:spacing w:after="120" w:line="360" w:lineRule="auto"/>
      <w:jc w:val="both"/>
    </w:pPr>
    <w:rPr>
      <w:rFonts w:cs="Arial Unicode MS"/>
      <w:color w:val="00000A"/>
      <w:sz w:val="24"/>
      <w:szCs w:val="24"/>
      <w:u w:color="00000A"/>
    </w:rPr>
  </w:style>
  <w:style w:type="paragraph" w:customStyle="1" w:styleId="Zawartotabeli">
    <w:name w:val="Zawartość tabeli"/>
    <w:pPr>
      <w:suppressAutoHyphens/>
      <w:spacing w:line="100" w:lineRule="atLeast"/>
    </w:pPr>
    <w:rPr>
      <w:rFonts w:cs="Arial Unicode MS"/>
      <w:color w:val="00000A"/>
      <w:sz w:val="24"/>
      <w:szCs w:val="24"/>
      <w:u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hd w:val="clear" w:color="auto" w:fill="FFFFFF"/>
      <w:spacing w:line="100" w:lineRule="atLeast"/>
    </w:pPr>
    <w:rPr>
      <w:rFonts w:cs="Arial Unicode MS"/>
      <w:color w:val="000000"/>
      <w:kern w:val="1"/>
      <w:sz w:val="24"/>
      <w:szCs w:val="24"/>
      <w:u w:color="000000"/>
    </w:rPr>
  </w:style>
  <w:style w:type="paragraph" w:styleId="Nagwek1">
    <w:name w:val="heading 1"/>
    <w:pPr>
      <w:keepNext/>
      <w:suppressAutoHyphens/>
      <w:spacing w:line="360" w:lineRule="auto"/>
      <w:ind w:left="432" w:hanging="432"/>
      <w:jc w:val="both"/>
      <w:outlineLvl w:val="0"/>
    </w:pPr>
    <w:rPr>
      <w:rFonts w:eastAsia="Times New Roman"/>
      <w:color w:val="00000A"/>
      <w:sz w:val="24"/>
      <w:szCs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line="100" w:lineRule="atLeast"/>
    </w:pPr>
    <w:rPr>
      <w:rFonts w:cs="Arial Unicode MS"/>
      <w:color w:val="00000A"/>
      <w:sz w:val="24"/>
      <w:szCs w:val="24"/>
      <w:u w:color="00000A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paragraph" w:customStyle="1" w:styleId="TextBody">
    <w:name w:val="Text Body"/>
    <w:pPr>
      <w:suppressAutoHyphens/>
      <w:spacing w:after="120" w:line="360" w:lineRule="auto"/>
      <w:jc w:val="both"/>
    </w:pPr>
    <w:rPr>
      <w:rFonts w:cs="Arial Unicode MS"/>
      <w:color w:val="00000A"/>
      <w:sz w:val="24"/>
      <w:szCs w:val="24"/>
      <w:u w:color="00000A"/>
    </w:rPr>
  </w:style>
  <w:style w:type="paragraph" w:customStyle="1" w:styleId="Zawartotabeli">
    <w:name w:val="Zawartość tabeli"/>
    <w:pPr>
      <w:suppressAutoHyphens/>
      <w:spacing w:line="100" w:lineRule="atLeast"/>
    </w:pPr>
    <w:rPr>
      <w:rFonts w:cs="Arial Unicode MS"/>
      <w:color w:val="00000A"/>
      <w:sz w:val="24"/>
      <w:szCs w:val="24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42tombsgi3tqltqmfyc4mrwgyztkmbr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g42tombsgi3tqltqmfyc4mrwgyztkmjug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sgm4tanjoobqxalrrgaytsm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rswglrtgeytcmrsguy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8135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</dc:creator>
  <cp:lastModifiedBy>Windows User</cp:lastModifiedBy>
  <cp:revision>2</cp:revision>
  <dcterms:created xsi:type="dcterms:W3CDTF">2016-02-22T09:47:00Z</dcterms:created>
  <dcterms:modified xsi:type="dcterms:W3CDTF">2016-02-22T09:47:00Z</dcterms:modified>
</cp:coreProperties>
</file>